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29" w:rsidRPr="00A40129" w:rsidRDefault="00A40129" w:rsidP="00113832">
      <w:pPr>
        <w:pStyle w:val="Cmsor1"/>
        <w:spacing w:before="720"/>
        <w:ind w:left="2551"/>
      </w:pPr>
      <w:r w:rsidRPr="00A40129">
        <w:t>Tájékoztató</w:t>
      </w:r>
    </w:p>
    <w:p w:rsidR="003B3E82" w:rsidRPr="003B3E82" w:rsidRDefault="003B3E82" w:rsidP="003B3E82">
      <w:pPr>
        <w:spacing w:after="2880"/>
        <w:ind w:left="14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hu-HU"/>
        </w:rPr>
      </w:pPr>
      <w:r w:rsidRPr="003B3E8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hu-HU"/>
        </w:rPr>
        <w:t>A veszélyes és nem veszélyes árut szállító gépkocsikon készenlétben tartandó tűzoltó készülékekről</w:t>
      </w:r>
    </w:p>
    <w:p w:rsidR="00DB1F7D" w:rsidRPr="00A40129" w:rsidRDefault="00FD19C4" w:rsidP="00F26B40">
      <w:pPr>
        <w:spacing w:before="10920" w:after="0"/>
        <w:jc w:val="center"/>
        <w:rPr>
          <w:rFonts w:ascii="Times New Roman" w:eastAsia="Times New Roman" w:hAnsi="Times New Roman"/>
          <w:b/>
          <w:color w:val="000000"/>
          <w:sz w:val="24"/>
          <w:lang w:eastAsia="hu-HU"/>
        </w:rPr>
      </w:pPr>
      <w:r w:rsidRPr="00A40129">
        <w:rPr>
          <w:noProof/>
          <w:lang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102235</wp:posOffset>
            </wp:positionV>
            <wp:extent cx="1516380" cy="1699260"/>
            <wp:effectExtent l="0" t="0" r="7620" b="0"/>
            <wp:wrapNone/>
            <wp:docPr id="2" name="Picture 7" descr="Leírás: katasztrofavedele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írás: katasztrofavedelem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9A8" w:rsidRPr="00A40129">
        <w:rPr>
          <w:rFonts w:ascii="Times New Roman" w:eastAsia="Times New Roman" w:hAnsi="Times New Roman"/>
          <w:b/>
          <w:color w:val="000000"/>
          <w:sz w:val="24"/>
          <w:lang w:eastAsia="hu-HU"/>
        </w:rPr>
        <w:t>B</w:t>
      </w:r>
      <w:r w:rsidR="00DB1F7D" w:rsidRPr="00A40129">
        <w:rPr>
          <w:rFonts w:ascii="Times New Roman" w:eastAsia="Times New Roman" w:hAnsi="Times New Roman"/>
          <w:b/>
          <w:color w:val="000000"/>
          <w:sz w:val="24"/>
          <w:lang w:eastAsia="hu-HU"/>
        </w:rPr>
        <w:t xml:space="preserve">elügyminisztérium </w:t>
      </w:r>
    </w:p>
    <w:p w:rsidR="002609A8" w:rsidRPr="00A40129" w:rsidRDefault="002609A8" w:rsidP="002609A8">
      <w:pPr>
        <w:spacing w:after="0" w:line="238" w:lineRule="auto"/>
        <w:ind w:left="1792" w:right="1729"/>
        <w:jc w:val="center"/>
        <w:rPr>
          <w:rFonts w:ascii="Times New Roman" w:eastAsia="Times New Roman" w:hAnsi="Times New Roman"/>
          <w:b/>
          <w:color w:val="000000"/>
          <w:sz w:val="24"/>
          <w:lang w:eastAsia="hu-HU"/>
        </w:rPr>
      </w:pPr>
      <w:r w:rsidRPr="00A40129">
        <w:rPr>
          <w:rFonts w:ascii="Times New Roman" w:eastAsia="Times New Roman" w:hAnsi="Times New Roman"/>
          <w:b/>
          <w:color w:val="000000"/>
          <w:sz w:val="24"/>
          <w:lang w:eastAsia="hu-HU"/>
        </w:rPr>
        <w:t>Országos Katasztrófavédelmi Főigazgatóság</w:t>
      </w:r>
    </w:p>
    <w:p w:rsidR="00117C8F" w:rsidRPr="00117C8F" w:rsidRDefault="002229B3" w:rsidP="00117C8F">
      <w:pPr>
        <w:spacing w:after="0" w:line="237" w:lineRule="auto"/>
        <w:ind w:left="1792" w:right="1729"/>
        <w:jc w:val="center"/>
        <w:rPr>
          <w:rFonts w:ascii="Times New Roman" w:eastAsia="Times New Roman" w:hAnsi="Times New Roman"/>
          <w:b/>
          <w:color w:val="000000"/>
          <w:sz w:val="24"/>
          <w:lang w:eastAsia="hu-H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hu-HU"/>
        </w:rPr>
        <w:t xml:space="preserve">Budapest, </w:t>
      </w:r>
      <w:r w:rsidR="00BA55E9">
        <w:rPr>
          <w:rFonts w:ascii="Times New Roman" w:eastAsia="Times New Roman" w:hAnsi="Times New Roman"/>
          <w:b/>
          <w:color w:val="000000"/>
          <w:sz w:val="24"/>
          <w:lang w:eastAsia="hu-HU"/>
        </w:rPr>
        <w:t>2025</w:t>
      </w:r>
      <w:r w:rsidR="00A83269">
        <w:rPr>
          <w:rFonts w:ascii="Times New Roman" w:eastAsia="Times New Roman" w:hAnsi="Times New Roman"/>
          <w:b/>
          <w:color w:val="000000"/>
          <w:sz w:val="24"/>
          <w:lang w:eastAsia="hu-HU"/>
        </w:rPr>
        <w:t xml:space="preserve">. </w:t>
      </w:r>
      <w:r w:rsidR="00BA55E9">
        <w:rPr>
          <w:rFonts w:ascii="Times New Roman" w:eastAsia="Times New Roman" w:hAnsi="Times New Roman"/>
          <w:b/>
          <w:color w:val="000000"/>
          <w:sz w:val="24"/>
          <w:lang w:eastAsia="hu-HU"/>
        </w:rPr>
        <w:t>január</w:t>
      </w:r>
    </w:p>
    <w:p w:rsidR="003B3E82" w:rsidRPr="00CD58DE" w:rsidRDefault="003B3E82" w:rsidP="003B3E82">
      <w:pPr>
        <w:pStyle w:val="Cmsor2"/>
        <w:rPr>
          <w:lang w:eastAsia="hu-HU"/>
        </w:rPr>
      </w:pPr>
      <w:r>
        <w:rPr>
          <w:lang w:eastAsia="hu-HU"/>
        </w:rPr>
        <w:br w:type="page"/>
      </w:r>
      <w:r w:rsidRPr="00CD58DE">
        <w:rPr>
          <w:lang w:eastAsia="hu-HU"/>
        </w:rPr>
        <w:lastRenderedPageBreak/>
        <w:t>Általános előírások</w:t>
      </w:r>
    </w:p>
    <w:p w:rsidR="003B3E82" w:rsidRPr="003B3E82" w:rsidRDefault="003B3E82" w:rsidP="003B3E82">
      <w:pPr>
        <w:pStyle w:val="Listaszerbekezds"/>
        <w:ind w:left="0"/>
        <w:jc w:val="left"/>
        <w:rPr>
          <w:rFonts w:eastAsia="Times New Roman" w:cs="Times New Roman"/>
          <w:szCs w:val="24"/>
          <w:lang w:eastAsia="hu-HU"/>
        </w:rPr>
      </w:pPr>
      <w:r w:rsidRPr="00A83269">
        <w:rPr>
          <w:rFonts w:eastAsia="Times New Roman" w:cs="Times New Roman"/>
          <w:i/>
          <w:szCs w:val="24"/>
          <w:lang w:eastAsia="hu-HU"/>
        </w:rPr>
        <w:t>Az Országos Tűzvédelmi Szabályzatról szóló 54/2014. (XII. 5.) BM rendelet</w:t>
      </w:r>
      <w:r w:rsidRPr="003B3E82">
        <w:rPr>
          <w:rFonts w:eastAsia="Times New Roman" w:cs="Times New Roman"/>
          <w:szCs w:val="24"/>
          <w:lang w:eastAsia="hu-HU"/>
        </w:rPr>
        <w:t xml:space="preserve"> (továbbiakban OTSZ) 219. § (1) bekezdésében szabályozza a tehergépjárműveken elhelyezett tűzoltó készülékek hozzáférhetőségét és alkalmasságát, de a készenlétben tartás kötelezettsége tekintetében egyéb jogszabályokra utal: „A járművön a vonatkozó jogszabály szerint elhelyezett tűzoltó készüléknek állandóan hozzáférhetőnek és vontatás esetén a vontató és a szállítmány tűzvédelmére egyaránt felhasználhatónak kell lennie.”</w:t>
      </w:r>
    </w:p>
    <w:p w:rsidR="003B3E82" w:rsidRPr="003B3E82" w:rsidRDefault="003B3E82" w:rsidP="003B3E82">
      <w:pPr>
        <w:pStyle w:val="Cmsor2"/>
        <w:rPr>
          <w:lang w:eastAsia="hu-HU"/>
        </w:rPr>
      </w:pPr>
      <w:r w:rsidRPr="003B3E82">
        <w:rPr>
          <w:lang w:eastAsia="hu-HU"/>
        </w:rPr>
        <w:t>Veszélyes árut szállító gépjárművek</w:t>
      </w:r>
      <w:bookmarkStart w:id="0" w:name="_GoBack"/>
      <w:bookmarkEnd w:id="0"/>
    </w:p>
    <w:p w:rsidR="003B3E82" w:rsidRPr="003B3E82" w:rsidRDefault="003B3E82" w:rsidP="003B3E82">
      <w:pPr>
        <w:pStyle w:val="Listaszerbekezds"/>
        <w:spacing w:after="120"/>
        <w:ind w:left="0"/>
        <w:jc w:val="left"/>
        <w:rPr>
          <w:rFonts w:eastAsia="Times New Roman" w:cs="Times New Roman"/>
          <w:szCs w:val="24"/>
          <w:lang w:eastAsia="hu-HU"/>
        </w:rPr>
      </w:pPr>
      <w:r w:rsidRPr="00A83269">
        <w:rPr>
          <w:rFonts w:eastAsia="Times New Roman" w:cs="Times New Roman"/>
          <w:i/>
          <w:szCs w:val="24"/>
          <w:lang w:eastAsia="hu-HU"/>
        </w:rPr>
        <w:t xml:space="preserve">A veszélyes áruk szállítását a </w:t>
      </w:r>
      <w:r w:rsidRPr="00A83269">
        <w:rPr>
          <w:rFonts w:cs="Times New Roman"/>
          <w:i/>
          <w:szCs w:val="24"/>
        </w:rPr>
        <w:t>Veszélyes Áruk Nemzetközi Közúti Szállításáról szóló Megállapodás „A” és „B” Melléklete kihirdetéséről, valamint a belföldi alkalmazásának egyes kérdéseiről szóló Korm. rendelet</w:t>
      </w:r>
      <w:r w:rsidRPr="003B3E82">
        <w:rPr>
          <w:rFonts w:cs="Times New Roman"/>
          <w:szCs w:val="24"/>
        </w:rPr>
        <w:t xml:space="preserve"> </w:t>
      </w:r>
      <w:r w:rsidRPr="003B3E82">
        <w:rPr>
          <w:rFonts w:eastAsia="Times New Roman" w:cs="Times New Roman"/>
          <w:szCs w:val="24"/>
          <w:lang w:eastAsia="hu-HU"/>
        </w:rPr>
        <w:t xml:space="preserve">szabályozza. Ezen kormányrendelet </w:t>
      </w:r>
      <w:r w:rsidR="00A83269">
        <w:rPr>
          <w:rFonts w:eastAsia="Times New Roman" w:cs="Times New Roman"/>
          <w:szCs w:val="24"/>
          <w:lang w:eastAsia="hu-HU"/>
        </w:rPr>
        <w:t>1</w:t>
      </w:r>
      <w:r w:rsidRPr="003B3E82">
        <w:rPr>
          <w:rFonts w:eastAsia="Times New Roman" w:cs="Times New Roman"/>
          <w:szCs w:val="24"/>
          <w:lang w:eastAsia="hu-HU"/>
        </w:rPr>
        <w:t>. számú melléklete tartalmazza a Megállapodás „A” és „B” Mellékletének (ADR) hatályos, magyar nyelvű szövegét.  Az ADR 8.1.4 szakasza tartalmazza a tűzoltó eszközök használatára vonatkozó szabályokat az alábbiak szerint:</w:t>
      </w:r>
    </w:p>
    <w:p w:rsidR="003B3E82" w:rsidRPr="003B3E82" w:rsidRDefault="003B3E82" w:rsidP="003B3E82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hu-HU"/>
        </w:rPr>
      </w:pP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„8.1.4.1 A veszélyes árut szállító szállítóegységekre – a 8.1.4.2 bekezdésben említett szállítóegységek kivételével – legalább a következő táblázatban feltüntetett, A, B és C tűzosztályú tüzek oltására alkalmas, hordozható tűzoltó készülékek szükségesek: </w:t>
      </w:r>
    </w:p>
    <w:p w:rsidR="003B3E82" w:rsidRPr="003B3E82" w:rsidRDefault="003B3E82" w:rsidP="003B3E82">
      <w:pPr>
        <w:spacing w:after="0" w:line="240" w:lineRule="auto"/>
        <w:rPr>
          <w:rFonts w:ascii="Times New Roman" w:eastAsia="Times New Roman" w:hAnsi="Times New Roman"/>
          <w:strike/>
          <w:lang w:eastAsia="hu-H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60"/>
        <w:gridCol w:w="1675"/>
        <w:gridCol w:w="2268"/>
        <w:gridCol w:w="2546"/>
      </w:tblGrid>
      <w:tr w:rsidR="003B3E82" w:rsidRPr="003B3E82" w:rsidTr="002B2F8D">
        <w:tc>
          <w:tcPr>
            <w:tcW w:w="1418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A szállítóegység legnagyobb megengedett össztömege</w:t>
            </w:r>
          </w:p>
        </w:tc>
        <w:tc>
          <w:tcPr>
            <w:tcW w:w="1160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A tűzoltó készülékek minimális darabszáma</w:t>
            </w:r>
          </w:p>
        </w:tc>
        <w:tc>
          <w:tcPr>
            <w:tcW w:w="1675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Az oltóanyag minimális összmennyisége a szállítóegységen</w:t>
            </w:r>
          </w:p>
        </w:tc>
        <w:tc>
          <w:tcPr>
            <w:tcW w:w="2268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A motor, ill. a vezetőfülke oltására alkalmas készülék: legalább egy darab, amelynek minimális mennyisége az alábbi:</w:t>
            </w:r>
          </w:p>
        </w:tc>
        <w:tc>
          <w:tcPr>
            <w:tcW w:w="2546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A további tűzoltó </w:t>
            </w:r>
            <w:proofErr w:type="gramStart"/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készülék(</w:t>
            </w:r>
            <w:proofErr w:type="spellStart"/>
            <w:proofErr w:type="gramEnd"/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ek</w:t>
            </w:r>
            <w:proofErr w:type="spellEnd"/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)re vonatkozó követelmény: legalább az egyiknek az oltóanyag mennyisége legalább az alábbi:</w:t>
            </w:r>
          </w:p>
        </w:tc>
      </w:tr>
      <w:tr w:rsidR="003B3E82" w:rsidRPr="003B3E82" w:rsidTr="002B2F8D">
        <w:trPr>
          <w:trHeight w:val="129"/>
        </w:trPr>
        <w:tc>
          <w:tcPr>
            <w:tcW w:w="1418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(1)</w:t>
            </w:r>
          </w:p>
        </w:tc>
        <w:tc>
          <w:tcPr>
            <w:tcW w:w="1160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(2)</w:t>
            </w:r>
          </w:p>
        </w:tc>
        <w:tc>
          <w:tcPr>
            <w:tcW w:w="1675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(3)</w:t>
            </w:r>
          </w:p>
        </w:tc>
        <w:tc>
          <w:tcPr>
            <w:tcW w:w="2268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(4)</w:t>
            </w:r>
          </w:p>
        </w:tc>
        <w:tc>
          <w:tcPr>
            <w:tcW w:w="2546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(5)</w:t>
            </w:r>
          </w:p>
        </w:tc>
      </w:tr>
      <w:tr w:rsidR="003B3E82" w:rsidRPr="003B3E82" w:rsidTr="002B2F8D">
        <w:trPr>
          <w:trHeight w:val="316"/>
        </w:trPr>
        <w:tc>
          <w:tcPr>
            <w:tcW w:w="1418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hu-HU"/>
              </w:rPr>
            </w:pPr>
            <w:proofErr w:type="gramStart"/>
            <w:r w:rsidRPr="002B2F8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hu-HU"/>
              </w:rPr>
              <w:t>&lt;</w:t>
            </w: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3</w:t>
            </w:r>
            <w:proofErr w:type="gramEnd"/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,5 t</w:t>
            </w:r>
          </w:p>
        </w:tc>
        <w:tc>
          <w:tcPr>
            <w:tcW w:w="1160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4 kg</w:t>
            </w:r>
          </w:p>
        </w:tc>
        <w:tc>
          <w:tcPr>
            <w:tcW w:w="2268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 kg</w:t>
            </w:r>
          </w:p>
        </w:tc>
        <w:tc>
          <w:tcPr>
            <w:tcW w:w="2546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 kg</w:t>
            </w:r>
          </w:p>
        </w:tc>
      </w:tr>
      <w:tr w:rsidR="003B3E82" w:rsidRPr="003B3E82" w:rsidTr="002B2F8D">
        <w:trPr>
          <w:trHeight w:val="548"/>
        </w:trPr>
        <w:tc>
          <w:tcPr>
            <w:tcW w:w="1418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&gt; 3,5</w:t>
            </w:r>
          </w:p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proofErr w:type="gramStart"/>
            <w:r w:rsidRPr="002B2F8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hu-HU"/>
              </w:rPr>
              <w:t>&lt;</w:t>
            </w: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7</w:t>
            </w:r>
            <w:proofErr w:type="gramEnd"/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,5 t</w:t>
            </w:r>
          </w:p>
        </w:tc>
        <w:tc>
          <w:tcPr>
            <w:tcW w:w="1160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8 kg</w:t>
            </w:r>
          </w:p>
        </w:tc>
        <w:tc>
          <w:tcPr>
            <w:tcW w:w="2268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 kg</w:t>
            </w:r>
          </w:p>
        </w:tc>
        <w:tc>
          <w:tcPr>
            <w:tcW w:w="2546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 kg</w:t>
            </w:r>
          </w:p>
        </w:tc>
      </w:tr>
      <w:tr w:rsidR="003B3E82" w:rsidRPr="003B3E82" w:rsidTr="002B2F8D">
        <w:trPr>
          <w:trHeight w:val="324"/>
        </w:trPr>
        <w:tc>
          <w:tcPr>
            <w:tcW w:w="1418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proofErr w:type="gramStart"/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&gt;</w:t>
            </w:r>
            <w:proofErr w:type="gramEnd"/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7,5 t</w:t>
            </w:r>
          </w:p>
        </w:tc>
        <w:tc>
          <w:tcPr>
            <w:tcW w:w="1160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12 kg</w:t>
            </w:r>
          </w:p>
        </w:tc>
        <w:tc>
          <w:tcPr>
            <w:tcW w:w="2268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2 kg</w:t>
            </w:r>
          </w:p>
        </w:tc>
        <w:tc>
          <w:tcPr>
            <w:tcW w:w="2546" w:type="dxa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6 kg</w:t>
            </w:r>
          </w:p>
        </w:tc>
      </w:tr>
      <w:tr w:rsidR="003B3E82" w:rsidRPr="003B3E82" w:rsidTr="002B2F8D">
        <w:tc>
          <w:tcPr>
            <w:tcW w:w="9067" w:type="dxa"/>
            <w:gridSpan w:val="5"/>
            <w:shd w:val="clear" w:color="auto" w:fill="auto"/>
          </w:tcPr>
          <w:p w:rsidR="003B3E82" w:rsidRPr="002B2F8D" w:rsidRDefault="003B3E82" w:rsidP="003B3E82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2B2F8D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Az oltóanyag mennyiségek por oltóanyagú (vagy más, alkalmas oltóanyagú, de azonos oltási képességű) készülékekre értendők.</w:t>
            </w:r>
          </w:p>
        </w:tc>
      </w:tr>
    </w:tbl>
    <w:p w:rsidR="003B3E82" w:rsidRPr="003B3E82" w:rsidRDefault="003B3E82" w:rsidP="00DC52E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8.1.4.2 Azokat a szállítóegységeket, amelyek az 1.1.3.6 bekezdés szerint végeznek veszélyes áru szállítást, egy darab, A, B és C tűzosztályú tüzek oltására alkalmas, legalább 2 kg mennyiségű por oltóanyagú (vagy más oltóanyagú, de azonos oltási képességű) hordozható </w:t>
      </w:r>
      <w:proofErr w:type="gramStart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tűzoltó</w:t>
      </w:r>
      <w:proofErr w:type="gramEnd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 készülékkel kell ellátni.”</w:t>
      </w:r>
    </w:p>
    <w:p w:rsidR="003B3E82" w:rsidRPr="003B3E82" w:rsidRDefault="003B3E82" w:rsidP="003B3E82">
      <w:pPr>
        <w:spacing w:after="8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(A fent hivatkozott, az ADR 1.1.3.6. bekezdése az egy szállítóegységben szállított mennyiségből adódó mentességeket rögzíti.)</w:t>
      </w:r>
    </w:p>
    <w:p w:rsidR="003B3E82" w:rsidRPr="003B3E82" w:rsidRDefault="003B3E82" w:rsidP="003B3E82">
      <w:pPr>
        <w:spacing w:after="8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Az </w:t>
      </w:r>
      <w:proofErr w:type="spellStart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ADR-ben</w:t>
      </w:r>
      <w:proofErr w:type="spellEnd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 előírt tűzoltó készülék hiányáért </w:t>
      </w:r>
      <w:r w:rsidRPr="00A83269">
        <w:rPr>
          <w:rFonts w:ascii="Times New Roman" w:eastAsia="Times New Roman" w:hAnsi="Times New Roman"/>
          <w:i/>
          <w:sz w:val="24"/>
          <w:szCs w:val="24"/>
          <w:lang w:eastAsia="hu-HU"/>
        </w:rPr>
        <w:t>a</w:t>
      </w:r>
      <w:r w:rsidR="00A83269" w:rsidRPr="00A83269">
        <w:rPr>
          <w:i/>
        </w:rPr>
        <w:t xml:space="preserve"> </w:t>
      </w:r>
      <w:r w:rsidR="00A83269" w:rsidRPr="00A83269">
        <w:rPr>
          <w:rFonts w:ascii="Times New Roman" w:eastAsia="Times New Roman" w:hAnsi="Times New Roman"/>
          <w:i/>
          <w:sz w:val="24"/>
          <w:szCs w:val="24"/>
          <w:lang w:eastAsia="hu-HU"/>
        </w:rPr>
        <w:t>közúti árufuvarozáshoz, személyszállításhoz és a közúti közlekedéshez kapcsolódó egyes rendelkezések megsértése esetén kiszabható bírságok összegéről, valamint a bírságolással összefüggő hatósági feladatokról</w:t>
      </w:r>
      <w:r w:rsidRPr="00A83269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156/2009. (VII.29.) Korm. rendelet</w:t>
      </w: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 6.§</w:t>
      </w:r>
      <w:proofErr w:type="spellStart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proofErr w:type="gramStart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spellEnd"/>
      <w:proofErr w:type="gramEnd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, 5. melléklete értelmében a szabályszegést elkövető részére bírság szabható ki.</w:t>
      </w:r>
    </w:p>
    <w:p w:rsidR="003B3E82" w:rsidRPr="003B3E82" w:rsidRDefault="003B3E82" w:rsidP="00A83269">
      <w:pPr>
        <w:spacing w:before="600"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Ugyanakkor az ADR 3.4.1 </w:t>
      </w:r>
      <w:r w:rsidR="00C241F7">
        <w:rPr>
          <w:rFonts w:ascii="Times New Roman" w:eastAsia="Times New Roman" w:hAnsi="Times New Roman"/>
          <w:sz w:val="24"/>
          <w:szCs w:val="24"/>
          <w:lang w:eastAsia="hu-HU"/>
        </w:rPr>
        <w:t>szakasza a korlátozott, míg a 3.5.1 szakasza</w:t>
      </w: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 az engedményes mennyiségben csomagolt veszélyes áruk tekintetében a tűzoltó készülék készenlétben tartási kötelezettségét rögzítő, fenti fejezetek alkalmazását nem teszi kötelezővé. Tehát az ADR alapján</w:t>
      </w:r>
      <w:r w:rsidRPr="00A83269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proofErr w:type="gramStart"/>
      <w:r w:rsidRPr="00A83269">
        <w:rPr>
          <w:rFonts w:ascii="Times New Roman" w:eastAsia="Times New Roman" w:hAnsi="Times New Roman"/>
          <w:sz w:val="24"/>
          <w:szCs w:val="24"/>
          <w:lang w:eastAsia="hu-HU"/>
        </w:rPr>
        <w:t>ezen</w:t>
      </w:r>
      <w:proofErr w:type="gramEnd"/>
      <w:r w:rsidRPr="00A83269">
        <w:rPr>
          <w:rFonts w:ascii="Times New Roman" w:eastAsia="Times New Roman" w:hAnsi="Times New Roman"/>
          <w:sz w:val="24"/>
          <w:szCs w:val="24"/>
          <w:lang w:eastAsia="hu-HU"/>
        </w:rPr>
        <w:t xml:space="preserve"> szállítási módok esetében, a tűzoltó készülék készenlétben tartása nem kötelező.</w:t>
      </w:r>
    </w:p>
    <w:p w:rsidR="003B3E82" w:rsidRPr="003B3E82" w:rsidRDefault="003B3E82" w:rsidP="003B3E82">
      <w:pPr>
        <w:pStyle w:val="Cmsor2"/>
        <w:rPr>
          <w:lang w:eastAsia="hu-HU"/>
        </w:rPr>
      </w:pPr>
      <w:r w:rsidRPr="003B3E82">
        <w:rPr>
          <w:lang w:eastAsia="hu-HU"/>
        </w:rPr>
        <w:t>Tehergépjárművek:</w:t>
      </w:r>
    </w:p>
    <w:p w:rsidR="003B3E82" w:rsidRPr="003B3E82" w:rsidRDefault="003B3E82" w:rsidP="003B3E82">
      <w:pPr>
        <w:pStyle w:val="Listaszerbekezds"/>
        <w:spacing w:after="120"/>
        <w:ind w:left="0"/>
        <w:jc w:val="left"/>
        <w:rPr>
          <w:rFonts w:eastAsia="Times New Roman" w:cs="Times New Roman"/>
          <w:szCs w:val="24"/>
          <w:lang w:eastAsia="hu-HU"/>
        </w:rPr>
      </w:pPr>
      <w:r w:rsidRPr="00A83269">
        <w:rPr>
          <w:rFonts w:eastAsia="Times New Roman" w:cs="Times New Roman"/>
          <w:i/>
          <w:szCs w:val="24"/>
          <w:lang w:eastAsia="hu-HU"/>
        </w:rPr>
        <w:t xml:space="preserve">A közúti járművek forgalomba helyezésének és forgalomban tartásának műszaki feltételeiről szóló 6/1990. (IV. 12.) </w:t>
      </w:r>
      <w:proofErr w:type="spellStart"/>
      <w:r w:rsidRPr="00A83269">
        <w:rPr>
          <w:rFonts w:eastAsia="Times New Roman" w:cs="Times New Roman"/>
          <w:i/>
          <w:szCs w:val="24"/>
          <w:lang w:eastAsia="hu-HU"/>
        </w:rPr>
        <w:t>KöHÉM</w:t>
      </w:r>
      <w:proofErr w:type="spellEnd"/>
      <w:r w:rsidRPr="00A83269">
        <w:rPr>
          <w:rFonts w:eastAsia="Times New Roman" w:cs="Times New Roman"/>
          <w:i/>
          <w:szCs w:val="24"/>
          <w:lang w:eastAsia="hu-HU"/>
        </w:rPr>
        <w:t xml:space="preserve"> rendelet</w:t>
      </w:r>
      <w:r w:rsidRPr="003B3E82">
        <w:rPr>
          <w:rFonts w:eastAsia="Times New Roman" w:cs="Times New Roman"/>
          <w:szCs w:val="24"/>
          <w:lang w:eastAsia="hu-HU"/>
        </w:rPr>
        <w:t xml:space="preserve"> (továbbiakban </w:t>
      </w:r>
      <w:proofErr w:type="spellStart"/>
      <w:r w:rsidRPr="003B3E82">
        <w:rPr>
          <w:rFonts w:eastAsia="Times New Roman" w:cs="Times New Roman"/>
          <w:szCs w:val="24"/>
          <w:lang w:eastAsia="hu-HU"/>
        </w:rPr>
        <w:t>KöHÉM</w:t>
      </w:r>
      <w:proofErr w:type="spellEnd"/>
      <w:r w:rsidRPr="003B3E82">
        <w:rPr>
          <w:rFonts w:eastAsia="Times New Roman" w:cs="Times New Roman"/>
          <w:szCs w:val="24"/>
          <w:lang w:eastAsia="hu-HU"/>
        </w:rPr>
        <w:t xml:space="preserve"> r.) 107. §</w:t>
      </w:r>
      <w:proofErr w:type="spellStart"/>
      <w:r w:rsidRPr="003B3E82">
        <w:rPr>
          <w:rFonts w:eastAsia="Times New Roman" w:cs="Times New Roman"/>
          <w:szCs w:val="24"/>
          <w:lang w:eastAsia="hu-HU"/>
        </w:rPr>
        <w:t>-</w:t>
      </w:r>
      <w:proofErr w:type="gramStart"/>
      <w:r w:rsidRPr="003B3E82">
        <w:rPr>
          <w:rFonts w:eastAsia="Times New Roman" w:cs="Times New Roman"/>
          <w:szCs w:val="24"/>
          <w:lang w:eastAsia="hu-HU"/>
        </w:rPr>
        <w:t>a</w:t>
      </w:r>
      <w:proofErr w:type="spellEnd"/>
      <w:proofErr w:type="gramEnd"/>
      <w:r w:rsidRPr="003B3E82">
        <w:rPr>
          <w:rFonts w:eastAsia="Times New Roman" w:cs="Times New Roman"/>
          <w:szCs w:val="24"/>
          <w:lang w:eastAsia="hu-HU"/>
        </w:rPr>
        <w:t xml:space="preserve"> általánosságban rögzíti a tehergépjárműveken kötelezően készenlétben tartandó tűzoltó készülékek számát, típusát, az alábbiak szerint:</w:t>
      </w:r>
    </w:p>
    <w:p w:rsidR="003B3E82" w:rsidRPr="003B3E82" w:rsidRDefault="003B3E82" w:rsidP="003B3E82">
      <w:pPr>
        <w:pStyle w:val="NormlWeb"/>
        <w:spacing w:before="0" w:beforeAutospacing="0" w:after="0" w:afterAutospacing="0"/>
      </w:pPr>
      <w:r w:rsidRPr="003B3E82">
        <w:t>„Tehergépkocsin, mezőgazdasági vontatón és lassú járművön, továbbá a tehergépkocsiból és pótkocsiból, valamint nyerges vontatóból és félpótkocsiból álló járműszerelvényen, amelynek megengedett legnagyobb össztömege</w:t>
      </w:r>
    </w:p>
    <w:p w:rsidR="00B608D6" w:rsidRDefault="00B608D6" w:rsidP="003B3E82">
      <w:pPr>
        <w:pStyle w:val="NormlWeb"/>
        <w:spacing w:before="0" w:beforeAutospacing="0" w:after="0" w:afterAutospacing="0"/>
        <w:sectPr w:rsidR="00B608D6" w:rsidSect="00B608D6">
          <w:headerReference w:type="default" r:id="rId8"/>
          <w:footerReference w:type="default" r:id="rId9"/>
          <w:headerReference w:type="first" r:id="rId10"/>
          <w:pgSz w:w="11906" w:h="16838"/>
          <w:pgMar w:top="1276" w:right="1417" w:bottom="1134" w:left="1417" w:header="708" w:footer="708" w:gutter="0"/>
          <w:cols w:space="708"/>
          <w:titlePg/>
          <w:docGrid w:linePitch="360"/>
        </w:sectPr>
      </w:pPr>
    </w:p>
    <w:p w:rsidR="00B608D6" w:rsidRDefault="003B3E82" w:rsidP="00B608D6">
      <w:pPr>
        <w:pStyle w:val="NormlWeb"/>
        <w:spacing w:before="120" w:beforeAutospacing="0" w:after="0" w:afterAutospacing="0"/>
      </w:pPr>
      <w:proofErr w:type="gramStart"/>
      <w:r w:rsidRPr="003B3E82">
        <w:t>a</w:t>
      </w:r>
      <w:proofErr w:type="gramEnd"/>
      <w:r w:rsidRPr="003B3E82">
        <w:t>) meghaladja a 3500</w:t>
      </w:r>
      <w:r w:rsidR="00B608D6">
        <w:t xml:space="preserve"> kg-ot, de legfeljebb 12 000 kg</w:t>
      </w:r>
    </w:p>
    <w:p w:rsidR="00B608D6" w:rsidRDefault="003B3E82" w:rsidP="00B608D6">
      <w:pPr>
        <w:pStyle w:val="NormlWeb"/>
        <w:spacing w:before="0" w:beforeAutospacing="0" w:after="0" w:afterAutospacing="0"/>
      </w:pPr>
      <w:r w:rsidRPr="003B3E82">
        <w:t>b) meghaladja a 12 000 kg-ot</w:t>
      </w:r>
      <w:r w:rsidRPr="003B3E82">
        <w:tab/>
      </w:r>
    </w:p>
    <w:p w:rsidR="00B608D6" w:rsidRDefault="00B608D6" w:rsidP="003B3E82">
      <w:pPr>
        <w:pStyle w:val="NormlWeb"/>
        <w:spacing w:before="0" w:beforeAutospacing="0" w:after="0" w:afterAutospacing="0"/>
        <w:ind w:left="4956" w:firstLine="708"/>
      </w:pPr>
    </w:p>
    <w:p w:rsidR="00B608D6" w:rsidRDefault="00B608D6" w:rsidP="00DC52E7">
      <w:pPr>
        <w:pStyle w:val="NormlWeb"/>
        <w:spacing w:before="0" w:beforeAutospacing="0" w:after="0" w:afterAutospacing="0"/>
        <w:ind w:left="709"/>
      </w:pPr>
      <w:r w:rsidRPr="00B608D6">
        <w:t>1 db legalább 6 kg-os</w:t>
      </w:r>
    </w:p>
    <w:p w:rsidR="00B608D6" w:rsidRDefault="00B608D6" w:rsidP="00DC52E7">
      <w:pPr>
        <w:pStyle w:val="NormlWeb"/>
        <w:spacing w:before="0" w:beforeAutospacing="0" w:after="0" w:afterAutospacing="0"/>
        <w:ind w:left="709"/>
      </w:pPr>
      <w:r w:rsidRPr="003B3E82">
        <w:t>1 db legalább 12 kg-os vagy</w:t>
      </w:r>
    </w:p>
    <w:p w:rsidR="00B608D6" w:rsidRPr="003B3E82" w:rsidRDefault="00B608D6" w:rsidP="00DC52E7">
      <w:pPr>
        <w:pStyle w:val="NormlWeb"/>
        <w:spacing w:before="0" w:beforeAutospacing="0" w:after="120" w:afterAutospacing="0"/>
        <w:ind w:left="709"/>
      </w:pPr>
      <w:r w:rsidRPr="00B608D6">
        <w:t>2 db legalább 6 kg-os</w:t>
      </w:r>
    </w:p>
    <w:p w:rsidR="00B608D6" w:rsidRDefault="00B608D6" w:rsidP="003B3E82">
      <w:pPr>
        <w:pStyle w:val="NormlWeb"/>
        <w:spacing w:before="0" w:beforeAutospacing="0" w:after="0" w:afterAutospacing="0"/>
        <w:sectPr w:rsidR="00B608D6" w:rsidSect="00B608D6">
          <w:type w:val="continuous"/>
          <w:pgSz w:w="11906" w:h="16838"/>
          <w:pgMar w:top="1276" w:right="1417" w:bottom="1134" w:left="1417" w:header="708" w:footer="708" w:gutter="0"/>
          <w:cols w:num="2" w:space="708"/>
          <w:titlePg/>
          <w:docGrid w:linePitch="360"/>
        </w:sectPr>
      </w:pPr>
    </w:p>
    <w:p w:rsidR="003B3E82" w:rsidRPr="003B3E82" w:rsidRDefault="003B3E82" w:rsidP="003B3E82">
      <w:pPr>
        <w:pStyle w:val="NormlWeb"/>
        <w:spacing w:before="0" w:beforeAutospacing="0" w:after="0" w:afterAutospacing="0"/>
      </w:pPr>
      <w:r w:rsidRPr="003B3E82">
        <w:t>A, B és C tűzosztályú</w:t>
      </w:r>
      <w:r w:rsidRPr="003B3E82">
        <w:rPr>
          <w:vertAlign w:val="superscript"/>
        </w:rPr>
        <w:t xml:space="preserve"> </w:t>
      </w:r>
      <w:r w:rsidRPr="003B3E82">
        <w:t>tüzek oltására alkalmas, szabványos, por oltóanyagú hordozható, porral oltó tűzoltó készüléket kell készenlétben tartani a járműtűz eloltására.”</w:t>
      </w:r>
    </w:p>
    <w:p w:rsidR="003B3E82" w:rsidRPr="003B3E82" w:rsidRDefault="003B3E82" w:rsidP="003B3E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spellStart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KöHÉM</w:t>
      </w:r>
      <w:proofErr w:type="spellEnd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 r. 107. § (4) bekezdése értelmében a veszélyes anyagot szállító járművön – mely alatt a KRESZ alapján a narancssárga táblával jelölt gépjárműveket érti – a veszélyes áruk közúti szállítására vonatkozó jogszabályban előírtaknak megfelelő, de legalább a fentiek szerinti tűzoltó készüléket kell készenlétben tartani.</w:t>
      </w:r>
    </w:p>
    <w:p w:rsidR="003B3E82" w:rsidRPr="003B3E82" w:rsidRDefault="003B3E82" w:rsidP="003B3E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proofErr w:type="spellStart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KöHÉM</w:t>
      </w:r>
      <w:proofErr w:type="spellEnd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 r. 107. § (3) bekezdése szerint az előbbiekben meghatározott tűzoltó készülékek más oltóanyagú, de legalább azonos oltási teljesítményű hordozható tűzoltó készülékkel helyettesíthetőek.</w:t>
      </w:r>
    </w:p>
    <w:p w:rsidR="003B3E82" w:rsidRPr="003B3E82" w:rsidRDefault="003B3E82" w:rsidP="003B3E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C241F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z előzőekben </w:t>
      </w:r>
      <w:r w:rsidRPr="003B3E82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részletezett </w:t>
      </w: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szabályozás alapján, a készenlétben tartandó tűzoltó készülékek tekintetében </w:t>
      </w:r>
      <w:r w:rsidRPr="003B3E82">
        <w:rPr>
          <w:rFonts w:ascii="Times New Roman" w:eastAsia="Times New Roman" w:hAnsi="Times New Roman"/>
          <w:bCs/>
          <w:sz w:val="24"/>
          <w:szCs w:val="24"/>
          <w:lang w:eastAsia="hu-HU"/>
        </w:rPr>
        <w:t>a Magyarország területén, közúton közlekedő, magyar honosságú, veszélyes árut szállító tehergépjárműveknek mindhárom rendelet előírásainak meg kell felelnie</w:t>
      </w: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. A jármű legnagyobb össztömegét, és a veszélyes anyag szállítási módját figyelembe véve a szigorúbb rendelkezésnek megfelelő számú és oltóanyag mennyiségű A, B és C osztályú tüzek oltására alkalmas tűzoltó </w:t>
      </w:r>
      <w:proofErr w:type="gramStart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készüléke(</w:t>
      </w:r>
      <w:proofErr w:type="spellStart"/>
      <w:proofErr w:type="gramEnd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ke</w:t>
      </w:r>
      <w:proofErr w:type="spellEnd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)t kell a járművön készenlétben tartani.</w:t>
      </w:r>
    </w:p>
    <w:p w:rsidR="003B3E82" w:rsidRPr="003B3E82" w:rsidRDefault="003B3E82" w:rsidP="003B3E82">
      <w:pPr>
        <w:pStyle w:val="Cmsor2"/>
        <w:rPr>
          <w:lang w:eastAsia="hu-HU"/>
        </w:rPr>
      </w:pPr>
      <w:r w:rsidRPr="003B3E82">
        <w:rPr>
          <w:lang w:eastAsia="hu-HU"/>
        </w:rPr>
        <w:t>Veszélyes árut nem szállító hazai tehergépjárművek</w:t>
      </w:r>
    </w:p>
    <w:p w:rsidR="003B3E82" w:rsidRPr="003B3E82" w:rsidRDefault="003B3E82" w:rsidP="003B3E82">
      <w:pPr>
        <w:pStyle w:val="Listaszerbekezds"/>
        <w:ind w:left="0"/>
        <w:jc w:val="left"/>
        <w:rPr>
          <w:rFonts w:eastAsia="Times New Roman" w:cs="Times New Roman"/>
          <w:szCs w:val="24"/>
          <w:lang w:eastAsia="hu-HU"/>
        </w:rPr>
      </w:pPr>
      <w:r w:rsidRPr="003B3E82">
        <w:rPr>
          <w:rFonts w:eastAsia="Times New Roman" w:cs="Times New Roman"/>
          <w:szCs w:val="24"/>
          <w:lang w:eastAsia="hu-HU"/>
        </w:rPr>
        <w:t xml:space="preserve">A veszélyes árut nem szállító hazai (nem külföldi) tehergépjárműveken, a tűzoltó készülékek készenlétben tartására egyértelműen az </w:t>
      </w:r>
      <w:r w:rsidR="00A83269">
        <w:rPr>
          <w:rFonts w:eastAsia="Times New Roman" w:cs="Times New Roman"/>
          <w:szCs w:val="24"/>
          <w:lang w:eastAsia="hu-HU"/>
        </w:rPr>
        <w:t xml:space="preserve">OTSZ, valamint a </w:t>
      </w:r>
      <w:proofErr w:type="spellStart"/>
      <w:r w:rsidRPr="003B3E82">
        <w:rPr>
          <w:rFonts w:eastAsia="Times New Roman" w:cs="Times New Roman"/>
          <w:szCs w:val="24"/>
          <w:lang w:eastAsia="hu-HU"/>
        </w:rPr>
        <w:t>KöHÉM</w:t>
      </w:r>
      <w:proofErr w:type="spellEnd"/>
      <w:r w:rsidRPr="003B3E82">
        <w:rPr>
          <w:rFonts w:eastAsia="Times New Roman" w:cs="Times New Roman"/>
          <w:szCs w:val="24"/>
          <w:lang w:eastAsia="hu-HU"/>
        </w:rPr>
        <w:t xml:space="preserve"> r. vonatkozik.</w:t>
      </w:r>
    </w:p>
    <w:p w:rsidR="003B3E82" w:rsidRPr="003B3E82" w:rsidRDefault="003B3E82" w:rsidP="003B3E82">
      <w:pPr>
        <w:rPr>
          <w:rFonts w:ascii="Times New Roman" w:hAnsi="Times New Roman"/>
          <w:sz w:val="24"/>
          <w:szCs w:val="24"/>
        </w:rPr>
      </w:pP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spellStart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KöHÉM</w:t>
      </w:r>
      <w:proofErr w:type="spellEnd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 r. </w:t>
      </w:r>
      <w:r w:rsidRPr="003B3E82">
        <w:rPr>
          <w:rFonts w:ascii="Times New Roman" w:hAnsi="Times New Roman"/>
          <w:sz w:val="24"/>
          <w:szCs w:val="24"/>
        </w:rPr>
        <w:t>1. § (1) bekezdése alapján</w:t>
      </w: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 azonban</w:t>
      </w:r>
      <w:r w:rsidRPr="003B3E82">
        <w:rPr>
          <w:rFonts w:ascii="Times New Roman" w:hAnsi="Times New Roman"/>
          <w:sz w:val="24"/>
          <w:szCs w:val="24"/>
        </w:rPr>
        <w:t xml:space="preserve">, ennek a rendeletnek a hatálya nem terjed ki „A Bécsben 1968. évi november hó 8. napján aláírásra megnyitott közúti közlekedési Egyezményben részes államok által kiadott hatósági jelzéssel közlekedő külföldi járművekre”, </w:t>
      </w:r>
      <w:proofErr w:type="gramStart"/>
      <w:r w:rsidRPr="003B3E82">
        <w:rPr>
          <w:rFonts w:ascii="Times New Roman" w:hAnsi="Times New Roman"/>
          <w:sz w:val="24"/>
          <w:szCs w:val="24"/>
        </w:rPr>
        <w:t>ezen</w:t>
      </w:r>
      <w:proofErr w:type="gramEnd"/>
      <w:r w:rsidRPr="003B3E82">
        <w:rPr>
          <w:rFonts w:ascii="Times New Roman" w:hAnsi="Times New Roman"/>
          <w:sz w:val="24"/>
          <w:szCs w:val="24"/>
        </w:rPr>
        <w:t xml:space="preserve"> gépjárművekre az Egyezmény 5. számú Függelékében foglalt műszaki előírások az irányadók. Ugyanakkor ez a hivatkozott 5. számú függelék, vagy az Egyezmény egyéb részei, nem térnek ki a tűzoltó készülék készenlétben tartásának kötelezettségére. Ezért:</w:t>
      </w:r>
    </w:p>
    <w:p w:rsidR="003B3E82" w:rsidRPr="003B3E82" w:rsidRDefault="003B3E82" w:rsidP="003B3E82">
      <w:pPr>
        <w:numPr>
          <w:ilvl w:val="0"/>
          <w:numId w:val="16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3B3E82">
        <w:rPr>
          <w:rFonts w:ascii="Times New Roman" w:hAnsi="Times New Roman"/>
          <w:sz w:val="24"/>
          <w:szCs w:val="24"/>
        </w:rPr>
        <w:t xml:space="preserve">azon külföldi állam veszélyes árut nem szállító tehergépjárművei esetében, amelyek állama csatlakozott az Egyezményhez, a tűzoltó készülék készenlétben tartására vonatkozóan hazai jogszabály nem rögzít követelményt, így számukra a tűzoltó készülék készenlétben tartása nem kötelező; </w:t>
      </w:r>
    </w:p>
    <w:p w:rsidR="003B3E82" w:rsidRPr="003B3E82" w:rsidRDefault="003B3E82" w:rsidP="003B3E8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3E82">
        <w:rPr>
          <w:rFonts w:ascii="Times New Roman" w:hAnsi="Times New Roman"/>
          <w:sz w:val="24"/>
          <w:szCs w:val="24"/>
        </w:rPr>
        <w:t xml:space="preserve">azon külföldi állam veszélyes árut nem szállító tehergépjárművei esetében, amely állam nem csatlakozott az Egyezményhez, a tűzoltó készülék készenlétben tartása a </w:t>
      </w:r>
      <w:r w:rsidR="00BA55E9">
        <w:rPr>
          <w:rFonts w:ascii="Times New Roman" w:hAnsi="Times New Roman"/>
          <w:sz w:val="24"/>
          <w:szCs w:val="24"/>
        </w:rPr>
        <w:t>KÖHÉM r</w:t>
      </w:r>
      <w:r w:rsidRPr="003B3E82">
        <w:rPr>
          <w:rFonts w:ascii="Times New Roman" w:hAnsi="Times New Roman"/>
          <w:sz w:val="24"/>
          <w:szCs w:val="24"/>
        </w:rPr>
        <w:t>. 107. §</w:t>
      </w:r>
      <w:proofErr w:type="spellStart"/>
      <w:r w:rsidRPr="003B3E82">
        <w:rPr>
          <w:rFonts w:ascii="Times New Roman" w:hAnsi="Times New Roman"/>
          <w:sz w:val="24"/>
          <w:szCs w:val="24"/>
        </w:rPr>
        <w:t>-</w:t>
      </w:r>
      <w:proofErr w:type="gramStart"/>
      <w:r w:rsidRPr="003B3E82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3B3E82">
        <w:rPr>
          <w:rFonts w:ascii="Times New Roman" w:hAnsi="Times New Roman"/>
          <w:sz w:val="24"/>
          <w:szCs w:val="24"/>
        </w:rPr>
        <w:t xml:space="preserve"> alapján számukra kötelező.</w:t>
      </w:r>
    </w:p>
    <w:p w:rsidR="003B3E82" w:rsidRPr="003B3E82" w:rsidRDefault="003B3E82" w:rsidP="003B3E82">
      <w:pPr>
        <w:pStyle w:val="Cmsor2"/>
        <w:rPr>
          <w:lang w:eastAsia="hu-HU"/>
        </w:rPr>
      </w:pPr>
      <w:r>
        <w:rPr>
          <w:lang w:eastAsia="hu-HU"/>
        </w:rPr>
        <w:br w:type="page"/>
      </w:r>
      <w:r w:rsidRPr="003B3E82">
        <w:rPr>
          <w:lang w:eastAsia="hu-HU"/>
        </w:rPr>
        <w:lastRenderedPageBreak/>
        <w:t>Korlátozott, vagy engedményes mennyiségben csomagolt veszélyes árut szállító járművek</w:t>
      </w:r>
    </w:p>
    <w:p w:rsidR="003B3E82" w:rsidRPr="003B3E82" w:rsidRDefault="003B3E82" w:rsidP="003B3E82">
      <w:pPr>
        <w:pStyle w:val="Listaszerbekezds"/>
        <w:ind w:left="0"/>
        <w:jc w:val="left"/>
        <w:rPr>
          <w:rFonts w:eastAsia="Times New Roman" w:cs="Times New Roman"/>
          <w:szCs w:val="24"/>
          <w:lang w:eastAsia="hu-HU"/>
        </w:rPr>
      </w:pPr>
      <w:r w:rsidRPr="003B3E82">
        <w:rPr>
          <w:rFonts w:eastAsia="Times New Roman" w:cs="Times New Roman"/>
          <w:szCs w:val="24"/>
          <w:lang w:eastAsia="hu-HU"/>
        </w:rPr>
        <w:t>A korlátozott, illetve az engedményes mennyiségben csomagolt veszélyes árut szállító járművek – melyek a KÖHÉM r. alapján nem tartoznak a veszélyes anyag szállító j</w:t>
      </w:r>
      <w:r w:rsidR="00BA55E9">
        <w:rPr>
          <w:rFonts w:eastAsia="Times New Roman" w:cs="Times New Roman"/>
          <w:szCs w:val="24"/>
          <w:lang w:eastAsia="hu-HU"/>
        </w:rPr>
        <w:t xml:space="preserve">árművek közé, a KRESZ alapján </w:t>
      </w:r>
      <w:r w:rsidRPr="003B3E82">
        <w:rPr>
          <w:rFonts w:eastAsia="Times New Roman" w:cs="Times New Roman"/>
          <w:szCs w:val="24"/>
          <w:lang w:eastAsia="hu-HU"/>
        </w:rPr>
        <w:t xml:space="preserve">narancssárga táblával nem jelöltek – esetén is biztosítani kell a KÖHÉM r. 107. (1) bekezdés szerinti mennyiségű tűzoltó készüléket. Ugyanakkor </w:t>
      </w:r>
      <w:proofErr w:type="gramStart"/>
      <w:r w:rsidRPr="003B3E82">
        <w:rPr>
          <w:rFonts w:eastAsia="Times New Roman" w:cs="Times New Roman"/>
          <w:szCs w:val="24"/>
          <w:lang w:eastAsia="hu-HU"/>
        </w:rPr>
        <w:t>ezen</w:t>
      </w:r>
      <w:proofErr w:type="gramEnd"/>
      <w:r w:rsidRPr="003B3E82">
        <w:rPr>
          <w:rFonts w:eastAsia="Times New Roman" w:cs="Times New Roman"/>
          <w:szCs w:val="24"/>
          <w:lang w:eastAsia="hu-HU"/>
        </w:rPr>
        <w:t xml:space="preserve"> kötelezettség megszegőivel szemben – a fentiekből adódóan – </w:t>
      </w:r>
      <w:r w:rsidRPr="00E105FE">
        <w:rPr>
          <w:rFonts w:eastAsia="Times New Roman" w:cs="Times New Roman"/>
          <w:szCs w:val="24"/>
          <w:lang w:eastAsia="hu-HU"/>
        </w:rPr>
        <w:t>nem alkalmazható</w:t>
      </w:r>
      <w:r w:rsidRPr="003B3E82">
        <w:rPr>
          <w:rFonts w:eastAsia="Times New Roman" w:cs="Times New Roman"/>
          <w:szCs w:val="24"/>
          <w:lang w:eastAsia="hu-HU"/>
        </w:rPr>
        <w:t xml:space="preserve"> a 156/2009. (VII.29.) Kormányrendelet 6. §</w:t>
      </w:r>
      <w:proofErr w:type="spellStart"/>
      <w:r w:rsidRPr="003B3E82">
        <w:rPr>
          <w:rFonts w:eastAsia="Times New Roman" w:cs="Times New Roman"/>
          <w:szCs w:val="24"/>
          <w:lang w:eastAsia="hu-HU"/>
        </w:rPr>
        <w:t>-</w:t>
      </w:r>
      <w:proofErr w:type="gramStart"/>
      <w:r w:rsidRPr="003B3E82">
        <w:rPr>
          <w:rFonts w:eastAsia="Times New Roman" w:cs="Times New Roman"/>
          <w:szCs w:val="24"/>
          <w:lang w:eastAsia="hu-HU"/>
        </w:rPr>
        <w:t>a</w:t>
      </w:r>
      <w:proofErr w:type="spellEnd"/>
      <w:proofErr w:type="gramEnd"/>
      <w:r w:rsidRPr="003B3E82">
        <w:rPr>
          <w:rFonts w:eastAsia="Times New Roman" w:cs="Times New Roman"/>
          <w:szCs w:val="24"/>
          <w:lang w:eastAsia="hu-HU"/>
        </w:rPr>
        <w:t xml:space="preserve"> és 5. melléklete alapján bírság. </w:t>
      </w:r>
    </w:p>
    <w:p w:rsidR="003B3E82" w:rsidRPr="003B3E82" w:rsidRDefault="003B3E82" w:rsidP="003B3E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A83269">
        <w:rPr>
          <w:rFonts w:ascii="Times New Roman" w:eastAsia="Times New Roman" w:hAnsi="Times New Roman"/>
          <w:i/>
          <w:sz w:val="24"/>
          <w:szCs w:val="24"/>
          <w:lang w:eastAsia="hu-HU"/>
        </w:rPr>
        <w:t>A tűzvédelmi hatósági feladatokat ellátó szervezetekről, a tűzvédelmi bírságról és a tűzvédelemmel foglalkozók kötelező élet- és balesetbiztosításáról szóló 259/2011. (XII. 7.) Korm. rendelet</w:t>
      </w: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 (továbbiakban Korm. r.) 1. melléklet </w:t>
      </w:r>
      <w:r w:rsidR="004C4778">
        <w:rPr>
          <w:rFonts w:ascii="Times New Roman" w:eastAsia="Times New Roman" w:hAnsi="Times New Roman"/>
          <w:sz w:val="24"/>
          <w:szCs w:val="24"/>
          <w:lang w:eastAsia="hu-HU"/>
        </w:rPr>
        <w:t>16</w:t>
      </w:r>
      <w:proofErr w:type="gramStart"/>
      <w:r w:rsidR="004C4778">
        <w:rPr>
          <w:rFonts w:ascii="Times New Roman" w:eastAsia="Times New Roman" w:hAnsi="Times New Roman"/>
          <w:sz w:val="24"/>
          <w:szCs w:val="24"/>
          <w:lang w:eastAsia="hu-HU"/>
        </w:rPr>
        <w:t>.,</w:t>
      </w:r>
      <w:proofErr w:type="gramEnd"/>
      <w:r w:rsidR="004C4778">
        <w:rPr>
          <w:rFonts w:ascii="Times New Roman" w:eastAsia="Times New Roman" w:hAnsi="Times New Roman"/>
          <w:sz w:val="24"/>
          <w:szCs w:val="24"/>
          <w:lang w:eastAsia="hu-HU"/>
        </w:rPr>
        <w:t xml:space="preserve"> 17. és </w:t>
      </w: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18. sora rendelkezik a tűzoltó készülékkel kapcsolatos tűzvédelmi bírságról, de kiveszi a hatálya alól „a veszélyes árut szállító járművek”</w:t>
      </w:r>
      <w:proofErr w:type="spellStart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-et</w:t>
      </w:r>
      <w:proofErr w:type="spellEnd"/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. Mivel a Korm. r. ennek definíciójá</w:t>
      </w:r>
      <w:r w:rsidR="00A83269">
        <w:rPr>
          <w:rFonts w:ascii="Times New Roman" w:eastAsia="Times New Roman" w:hAnsi="Times New Roman"/>
          <w:sz w:val="24"/>
          <w:szCs w:val="24"/>
          <w:lang w:eastAsia="hu-HU"/>
        </w:rPr>
        <w:t>t nem tartalmazza, az ADR 1.2.1</w:t>
      </w: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83269">
        <w:rPr>
          <w:rFonts w:ascii="Times New Roman" w:eastAsia="Times New Roman" w:hAnsi="Times New Roman"/>
          <w:sz w:val="24"/>
          <w:szCs w:val="24"/>
          <w:lang w:eastAsia="hu-HU"/>
        </w:rPr>
        <w:t xml:space="preserve">szakasz fogalom </w:t>
      </w: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meghatározását kell alkalmazni, amely alapján:</w:t>
      </w:r>
    </w:p>
    <w:p w:rsidR="003B3E82" w:rsidRPr="003B3E82" w:rsidRDefault="003B3E82" w:rsidP="003B3E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„veszélyes áruk: olyan anyagok és tárgyak, amelyek szállítását az ADR tiltja, vagy csak feltételekkel engedi meg;”</w:t>
      </w:r>
    </w:p>
    <w:p w:rsidR="003B3E82" w:rsidRPr="003B3E82" w:rsidRDefault="003B3E82" w:rsidP="003B3E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„szállítás: a veszélyes áru helyváltoztatása, beleértve a közlekedési okokból történő megállásokat, ill. minden olyan, közlekedési szempontból szükségessé vált időszakot a helyváltoztatás előtt, alatt és után, amely alatt a veszélyes áru a járműben, tartályban vagy konténerben van. Ez a fogalom kiterjed a veszélyes áruk átmeneti tárolására is a közlekedési ágak, ill. a közlekedési eszközök cseréjénél (átrakásánál), azzal a feltétellel, hogy az áru átvételének és kiszolgáltatásának helyét feltüntető fuvarokmányt kérésre bemutatják, ill. a küldeménydarabokat vagy a tartányokat nem nyitják fel, kivéve, ha az illetékes hatóságok ellenőrzik.”</w:t>
      </w:r>
    </w:p>
    <w:p w:rsidR="003B3E82" w:rsidRPr="003B3E82" w:rsidRDefault="003B3E82" w:rsidP="003B3E82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>A fentiekre tekintettel a korlátozott vagy engedményes mennyiségben csomagolt veszélyes árut szállító, hazai vagy az Egyezményhez nem csatlakozott külföldi államjelzéssel rendelkező tehergépjárműveken kötelező a tűzoltó készülék elhelyezése, de annak hiányáért ADR bírság</w:t>
      </w:r>
      <w:r w:rsidRPr="00E105FE">
        <w:rPr>
          <w:rFonts w:ascii="Times New Roman" w:eastAsia="Times New Roman" w:hAnsi="Times New Roman"/>
          <w:sz w:val="24"/>
          <w:szCs w:val="24"/>
          <w:lang w:eastAsia="hu-HU"/>
        </w:rPr>
        <w:t xml:space="preserve"> jelenleg nem szabható ki. Ezen esetekben az ügyet az illetékes </w:t>
      </w:r>
      <w:r w:rsidR="00E105FE">
        <w:rPr>
          <w:rFonts w:ascii="Times New Roman" w:eastAsia="Times New Roman" w:hAnsi="Times New Roman"/>
          <w:sz w:val="24"/>
          <w:szCs w:val="24"/>
          <w:lang w:eastAsia="hu-HU"/>
        </w:rPr>
        <w:t xml:space="preserve">kormányhivatalnak vagy </w:t>
      </w:r>
      <w:r w:rsidRPr="00E105FE">
        <w:rPr>
          <w:rFonts w:ascii="Times New Roman" w:eastAsia="Times New Roman" w:hAnsi="Times New Roman"/>
          <w:sz w:val="24"/>
          <w:szCs w:val="24"/>
          <w:lang w:eastAsia="hu-HU"/>
        </w:rPr>
        <w:t>rendőrségnek kell átadni, a hatáskörébe tartozó</w:t>
      </w:r>
      <w:r w:rsidRPr="003B3E82">
        <w:rPr>
          <w:rFonts w:ascii="Times New Roman" w:eastAsia="Times New Roman" w:hAnsi="Times New Roman"/>
          <w:sz w:val="24"/>
          <w:szCs w:val="24"/>
          <w:lang w:eastAsia="hu-HU"/>
        </w:rPr>
        <w:t xml:space="preserve"> hatósági eljárás lefolytatása céljából. </w:t>
      </w:r>
    </w:p>
    <w:p w:rsidR="003B3E82" w:rsidRPr="003B3E82" w:rsidRDefault="003B3E82" w:rsidP="003B3E82">
      <w:pPr>
        <w:pStyle w:val="Cmsor2"/>
        <w:rPr>
          <w:lang w:eastAsia="hu-HU"/>
        </w:rPr>
      </w:pPr>
      <w:r w:rsidRPr="003B3E82">
        <w:rPr>
          <w:lang w:eastAsia="hu-HU"/>
        </w:rPr>
        <w:t>Vonatkozó előírások:</w:t>
      </w:r>
    </w:p>
    <w:p w:rsidR="003B3E82" w:rsidRPr="003B3E82" w:rsidRDefault="003B3E82" w:rsidP="003B3E82">
      <w:pPr>
        <w:pStyle w:val="Listaszerbekezds"/>
        <w:numPr>
          <w:ilvl w:val="0"/>
          <w:numId w:val="18"/>
        </w:numPr>
        <w:shd w:val="clear" w:color="auto" w:fill="FFFFFF"/>
        <w:spacing w:before="120" w:after="120"/>
        <w:jc w:val="left"/>
        <w:rPr>
          <w:rFonts w:cs="Times New Roman"/>
          <w:szCs w:val="24"/>
        </w:rPr>
      </w:pPr>
      <w:r w:rsidRPr="003B3E82">
        <w:rPr>
          <w:rFonts w:cs="Times New Roman"/>
          <w:szCs w:val="24"/>
        </w:rPr>
        <w:t>Az Országos Tűzvédelmi Szabályzatról szóló 54/2014. (XII. 5.) BM rendelet</w:t>
      </w:r>
    </w:p>
    <w:p w:rsidR="003B3E82" w:rsidRPr="003B3E82" w:rsidRDefault="003B3E82" w:rsidP="003B3E82">
      <w:pPr>
        <w:pStyle w:val="Listaszerbekezds"/>
        <w:numPr>
          <w:ilvl w:val="0"/>
          <w:numId w:val="18"/>
        </w:numPr>
        <w:shd w:val="clear" w:color="auto" w:fill="FFFFFF"/>
        <w:spacing w:before="120" w:after="120"/>
        <w:jc w:val="left"/>
        <w:rPr>
          <w:rFonts w:cs="Times New Roman"/>
          <w:szCs w:val="24"/>
        </w:rPr>
      </w:pPr>
      <w:r w:rsidRPr="003B3E82">
        <w:rPr>
          <w:rFonts w:eastAsia="Times New Roman" w:cs="Times New Roman"/>
          <w:szCs w:val="24"/>
          <w:lang w:eastAsia="hu-HU"/>
        </w:rPr>
        <w:t xml:space="preserve">A </w:t>
      </w:r>
      <w:r w:rsidRPr="003B3E82">
        <w:rPr>
          <w:rFonts w:cs="Times New Roman"/>
          <w:szCs w:val="24"/>
        </w:rPr>
        <w:t>Veszélyes Áruk Nemzetközi Közúti Szállításáról szóló Megállapodás „A” és „B” Melléklete kihirdetéséről, valamint a belföldi alkalmazásának egyes kérdéseiről szóló Korm. rendelet</w:t>
      </w:r>
    </w:p>
    <w:p w:rsidR="003B3E82" w:rsidRPr="003B3E82" w:rsidRDefault="003B3E82" w:rsidP="003B3E82">
      <w:pPr>
        <w:pStyle w:val="Listaszerbekezds"/>
        <w:numPr>
          <w:ilvl w:val="0"/>
          <w:numId w:val="18"/>
        </w:numPr>
        <w:shd w:val="clear" w:color="auto" w:fill="FFFFFF"/>
        <w:spacing w:before="120" w:after="120"/>
        <w:jc w:val="left"/>
        <w:rPr>
          <w:rFonts w:cs="Times New Roman"/>
          <w:szCs w:val="24"/>
        </w:rPr>
      </w:pPr>
      <w:r w:rsidRPr="003B3E82">
        <w:rPr>
          <w:rFonts w:eastAsia="Times New Roman" w:cs="Times New Roman"/>
          <w:szCs w:val="24"/>
          <w:lang w:eastAsia="hu-HU"/>
        </w:rPr>
        <w:t xml:space="preserve">A közúti járművek forgalomba helyezésének és forgalomban tartásának műszaki feltételeiről szóló 6/1990. (IV. 12.) </w:t>
      </w:r>
      <w:proofErr w:type="spellStart"/>
      <w:r w:rsidRPr="003B3E82">
        <w:rPr>
          <w:rFonts w:eastAsia="Times New Roman" w:cs="Times New Roman"/>
          <w:szCs w:val="24"/>
          <w:lang w:eastAsia="hu-HU"/>
        </w:rPr>
        <w:t>KöHÉM</w:t>
      </w:r>
      <w:proofErr w:type="spellEnd"/>
      <w:r w:rsidRPr="003B3E82">
        <w:rPr>
          <w:rFonts w:eastAsia="Times New Roman" w:cs="Times New Roman"/>
          <w:szCs w:val="24"/>
          <w:lang w:eastAsia="hu-HU"/>
        </w:rPr>
        <w:t xml:space="preserve"> rendelet</w:t>
      </w:r>
    </w:p>
    <w:p w:rsidR="003B3E82" w:rsidRPr="003B3E82" w:rsidRDefault="003B3E82" w:rsidP="003B3E82">
      <w:pPr>
        <w:pStyle w:val="Listaszerbekezds"/>
        <w:numPr>
          <w:ilvl w:val="0"/>
          <w:numId w:val="18"/>
        </w:numPr>
        <w:shd w:val="clear" w:color="auto" w:fill="FFFFFF"/>
        <w:spacing w:before="120" w:after="120"/>
        <w:jc w:val="left"/>
        <w:rPr>
          <w:rFonts w:cs="Times New Roman"/>
          <w:szCs w:val="24"/>
        </w:rPr>
      </w:pPr>
      <w:r w:rsidRPr="003B3E82">
        <w:rPr>
          <w:rFonts w:cs="Times New Roman"/>
          <w:szCs w:val="24"/>
        </w:rPr>
        <w:t>A közúti árufuvarozáshoz, személyszállításhoz és a közúti közlekedéshez kapcsolódó egyes rendelkezések megsértése esetén kiszabható bírságok összegéről, valamint a bírságolással összefüggő hatósági feladatokról szóló 156/2009. (VII. 29. Korm. rendelet</w:t>
      </w:r>
    </w:p>
    <w:p w:rsidR="003B3E82" w:rsidRPr="003B3E82" w:rsidRDefault="003B3E82" w:rsidP="003B3E82">
      <w:pPr>
        <w:pStyle w:val="Listaszerbekezds"/>
        <w:numPr>
          <w:ilvl w:val="0"/>
          <w:numId w:val="18"/>
        </w:numPr>
        <w:shd w:val="clear" w:color="auto" w:fill="FFFFFF"/>
        <w:spacing w:before="120" w:after="120"/>
        <w:jc w:val="left"/>
        <w:rPr>
          <w:rFonts w:cs="Times New Roman"/>
          <w:szCs w:val="24"/>
        </w:rPr>
      </w:pPr>
      <w:r w:rsidRPr="003B3E82">
        <w:rPr>
          <w:rFonts w:eastAsia="Times New Roman" w:cs="Times New Roman"/>
          <w:szCs w:val="24"/>
          <w:lang w:eastAsia="hu-HU"/>
        </w:rPr>
        <w:t>A tűzvédelmi hatósági feladatokat ellátó szervezetekről, a tűzvédelmi bírságról és a tűzvédelemmel foglalkozók kötelező élet- és balesetbiztosításáról szóló 259/2011. (XII. 7.) Korm. rendelet</w:t>
      </w:r>
    </w:p>
    <w:p w:rsidR="003B3E82" w:rsidRPr="003B3E82" w:rsidRDefault="003B3E82" w:rsidP="003B3E82">
      <w:pPr>
        <w:pStyle w:val="Cmsor2"/>
        <w:rPr>
          <w:lang w:eastAsia="hu-HU"/>
        </w:rPr>
      </w:pPr>
      <w:r w:rsidRPr="003B3E82">
        <w:rPr>
          <w:lang w:eastAsia="hu-HU"/>
        </w:rPr>
        <w:lastRenderedPageBreak/>
        <w:t>Záradék:</w:t>
      </w:r>
    </w:p>
    <w:p w:rsidR="003B3E82" w:rsidRPr="003B3E82" w:rsidRDefault="003B3E82" w:rsidP="003B3E82">
      <w:pPr>
        <w:spacing w:after="120" w:line="240" w:lineRule="auto"/>
        <w:ind w:left="11" w:right="6" w:hanging="11"/>
        <w:rPr>
          <w:rFonts w:ascii="Times New Roman" w:hAnsi="Times New Roman"/>
          <w:bCs/>
          <w:iCs/>
          <w:sz w:val="24"/>
          <w:szCs w:val="24"/>
        </w:rPr>
      </w:pPr>
      <w:r w:rsidRPr="003B3E82">
        <w:rPr>
          <w:rFonts w:ascii="Times New Roman" w:hAnsi="Times New Roman"/>
          <w:bCs/>
          <w:iCs/>
          <w:sz w:val="24"/>
          <w:szCs w:val="24"/>
        </w:rPr>
        <w:t>A tájékoztatóban foglaltak – a 60/1992. (XI. 17.) AB határozat értelmében – nem tekinthetők jogi iránymutatásnak, állásfoglalásnak, így kötelező erővel nem bírnak. Az Alkotmánybíróság határozata szerint „a központi állami szervektől származó jogi iránymutatást tartalmazó állásfoglalásokhoz joghatás nem fűződik, azoknak kötelező ereje nincs. A különböző jogi iránymutatást tartalmazó leiratok, iránymutatások, állásfoglalások és egyéb informális jogértelmezések kiadása, és az ezekkel való irányítás gyakorlata alkotmányellenes”.</w:t>
      </w:r>
    </w:p>
    <w:p w:rsidR="003B3E82" w:rsidRPr="003B3E82" w:rsidRDefault="003B3E82" w:rsidP="003B3E82">
      <w:pPr>
        <w:spacing w:after="120" w:line="240" w:lineRule="auto"/>
        <w:ind w:left="11" w:right="6" w:hanging="11"/>
        <w:rPr>
          <w:rFonts w:ascii="Times New Roman" w:hAnsi="Times New Roman"/>
          <w:sz w:val="24"/>
          <w:szCs w:val="24"/>
        </w:rPr>
      </w:pPr>
      <w:r w:rsidRPr="003B3E82">
        <w:rPr>
          <w:rFonts w:ascii="Times New Roman" w:hAnsi="Times New Roman"/>
          <w:bCs/>
          <w:iCs/>
          <w:sz w:val="24"/>
          <w:szCs w:val="24"/>
        </w:rPr>
        <w:t>A tájékoztatót a BM OKF Hatósági Főigazgató-helyettesi Szervezete a jogszabályban foglalt követelmények teljesítésének elősegítése érdekében adta ki, melyeket minden esetben az egyedi ügyre vonatkozóan kell megfelelően alkalmazni.</w:t>
      </w:r>
    </w:p>
    <w:sectPr w:rsidR="003B3E82" w:rsidRPr="003B3E82" w:rsidSect="00B608D6">
      <w:type w:val="continuous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3D9" w:rsidRDefault="006C43D9" w:rsidP="003F629D">
      <w:pPr>
        <w:spacing w:after="0" w:line="240" w:lineRule="auto"/>
      </w:pPr>
      <w:r>
        <w:separator/>
      </w:r>
    </w:p>
  </w:endnote>
  <w:endnote w:type="continuationSeparator" w:id="0">
    <w:p w:rsidR="006C43D9" w:rsidRDefault="006C43D9" w:rsidP="003F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47422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06CAD" w:rsidRPr="00906CAD" w:rsidRDefault="00906CAD" w:rsidP="00906CAD">
        <w:pPr>
          <w:pStyle w:val="llb"/>
          <w:jc w:val="center"/>
          <w:rPr>
            <w:rFonts w:ascii="Times New Roman" w:hAnsi="Times New Roman"/>
            <w:sz w:val="24"/>
          </w:rPr>
        </w:pPr>
        <w:r w:rsidRPr="00906CAD">
          <w:rPr>
            <w:rFonts w:ascii="Times New Roman" w:hAnsi="Times New Roman"/>
            <w:sz w:val="24"/>
          </w:rPr>
          <w:fldChar w:fldCharType="begin"/>
        </w:r>
        <w:r w:rsidRPr="00906CAD">
          <w:rPr>
            <w:rFonts w:ascii="Times New Roman" w:hAnsi="Times New Roman"/>
            <w:sz w:val="24"/>
          </w:rPr>
          <w:instrText>PAGE   \* MERGEFORMAT</w:instrText>
        </w:r>
        <w:r w:rsidRPr="00906CAD">
          <w:rPr>
            <w:rFonts w:ascii="Times New Roman" w:hAnsi="Times New Roman"/>
            <w:sz w:val="24"/>
          </w:rPr>
          <w:fldChar w:fldCharType="separate"/>
        </w:r>
        <w:r w:rsidR="00B55773">
          <w:rPr>
            <w:rFonts w:ascii="Times New Roman" w:hAnsi="Times New Roman"/>
            <w:noProof/>
            <w:sz w:val="24"/>
          </w:rPr>
          <w:t>5</w:t>
        </w:r>
        <w:r w:rsidRPr="00906CAD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3D9" w:rsidRDefault="006C43D9" w:rsidP="003F629D">
      <w:pPr>
        <w:spacing w:after="0" w:line="240" w:lineRule="auto"/>
      </w:pPr>
      <w:r>
        <w:separator/>
      </w:r>
    </w:p>
  </w:footnote>
  <w:footnote w:type="continuationSeparator" w:id="0">
    <w:p w:rsidR="006C43D9" w:rsidRDefault="006C43D9" w:rsidP="003F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F7" w:rsidRPr="00906CAD" w:rsidRDefault="00B55773" w:rsidP="00906CAD">
    <w:pPr>
      <w:pStyle w:val="lfej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10</w:t>
    </w:r>
    <w:r w:rsidR="00906CAD" w:rsidRPr="00906CAD">
      <w:rPr>
        <w:rFonts w:ascii="Times New Roman" w:hAnsi="Times New Roman"/>
        <w:sz w:val="24"/>
      </w:rPr>
      <w:t>. melléklet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F7" w:rsidRPr="00906CAD" w:rsidRDefault="00B55773" w:rsidP="00906CAD">
    <w:pPr>
      <w:pStyle w:val="lfej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10</w:t>
    </w:r>
    <w:r w:rsidR="00906CAD" w:rsidRPr="00906CAD">
      <w:rPr>
        <w:rFonts w:ascii="Times New Roman" w:hAnsi="Times New Roman"/>
        <w:sz w:val="24"/>
      </w:rPr>
      <w:t>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725"/>
    <w:multiLevelType w:val="hybridMultilevel"/>
    <w:tmpl w:val="2F94AE5C"/>
    <w:lvl w:ilvl="0" w:tplc="2EEA33D0">
      <w:start w:val="1"/>
      <w:numFmt w:val="decimal"/>
      <w:lvlText w:val="%1.)"/>
      <w:lvlJc w:val="left"/>
      <w:pPr>
        <w:ind w:left="405" w:hanging="4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1194"/>
    <w:multiLevelType w:val="hybridMultilevel"/>
    <w:tmpl w:val="1808634E"/>
    <w:lvl w:ilvl="0" w:tplc="286299F0">
      <w:start w:val="2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0983"/>
    <w:multiLevelType w:val="hybridMultilevel"/>
    <w:tmpl w:val="3DAAF6BC"/>
    <w:lvl w:ilvl="0" w:tplc="939407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7FF9"/>
    <w:multiLevelType w:val="hybridMultilevel"/>
    <w:tmpl w:val="68201E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75B84"/>
    <w:multiLevelType w:val="hybridMultilevel"/>
    <w:tmpl w:val="371471AC"/>
    <w:lvl w:ilvl="0" w:tplc="7EC27EA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72A63"/>
    <w:multiLevelType w:val="hybridMultilevel"/>
    <w:tmpl w:val="05D88A32"/>
    <w:lvl w:ilvl="0" w:tplc="44BC7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27CD"/>
    <w:multiLevelType w:val="hybridMultilevel"/>
    <w:tmpl w:val="165899B8"/>
    <w:lvl w:ilvl="0" w:tplc="064A85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84C2E"/>
    <w:multiLevelType w:val="hybridMultilevel"/>
    <w:tmpl w:val="165899B8"/>
    <w:lvl w:ilvl="0" w:tplc="064A855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F355B"/>
    <w:multiLevelType w:val="hybridMultilevel"/>
    <w:tmpl w:val="258278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033C3"/>
    <w:multiLevelType w:val="hybridMultilevel"/>
    <w:tmpl w:val="883CF4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77E71"/>
    <w:multiLevelType w:val="hybridMultilevel"/>
    <w:tmpl w:val="7344762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B1EF0"/>
    <w:multiLevelType w:val="multilevel"/>
    <w:tmpl w:val="8E24A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96F468F"/>
    <w:multiLevelType w:val="hybridMultilevel"/>
    <w:tmpl w:val="9E324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36106"/>
    <w:multiLevelType w:val="hybridMultilevel"/>
    <w:tmpl w:val="006449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52952"/>
    <w:multiLevelType w:val="multilevel"/>
    <w:tmpl w:val="B2006142"/>
    <w:lvl w:ilvl="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7241268"/>
    <w:multiLevelType w:val="hybridMultilevel"/>
    <w:tmpl w:val="688429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E4B1E"/>
    <w:multiLevelType w:val="hybridMultilevel"/>
    <w:tmpl w:val="06D680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870B3"/>
    <w:multiLevelType w:val="hybridMultilevel"/>
    <w:tmpl w:val="EC7ACC42"/>
    <w:lvl w:ilvl="0" w:tplc="79B6B91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2"/>
  </w:num>
  <w:num w:numId="5">
    <w:abstractNumId w:val="0"/>
  </w:num>
  <w:num w:numId="6">
    <w:abstractNumId w:val="13"/>
  </w:num>
  <w:num w:numId="7">
    <w:abstractNumId w:val="15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  <w:num w:numId="15">
    <w:abstractNumId w:val="10"/>
  </w:num>
  <w:num w:numId="16">
    <w:abstractNumId w:val="1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5B"/>
    <w:rsid w:val="00034F86"/>
    <w:rsid w:val="00041719"/>
    <w:rsid w:val="00041C79"/>
    <w:rsid w:val="000511E2"/>
    <w:rsid w:val="00060DEC"/>
    <w:rsid w:val="00081A60"/>
    <w:rsid w:val="000875AC"/>
    <w:rsid w:val="00090DB9"/>
    <w:rsid w:val="000A10C8"/>
    <w:rsid w:val="000B4865"/>
    <w:rsid w:val="000C49E7"/>
    <w:rsid w:val="000E2431"/>
    <w:rsid w:val="000F5B08"/>
    <w:rsid w:val="001057D4"/>
    <w:rsid w:val="00113832"/>
    <w:rsid w:val="00117C8F"/>
    <w:rsid w:val="001816D9"/>
    <w:rsid w:val="001B4A98"/>
    <w:rsid w:val="002229B3"/>
    <w:rsid w:val="00223D9F"/>
    <w:rsid w:val="00225B91"/>
    <w:rsid w:val="002609A8"/>
    <w:rsid w:val="002A0688"/>
    <w:rsid w:val="002B2F8D"/>
    <w:rsid w:val="0032217E"/>
    <w:rsid w:val="0034711B"/>
    <w:rsid w:val="00371C69"/>
    <w:rsid w:val="003B3E82"/>
    <w:rsid w:val="003F629D"/>
    <w:rsid w:val="00406AF9"/>
    <w:rsid w:val="0040742E"/>
    <w:rsid w:val="00442EEB"/>
    <w:rsid w:val="00465F5D"/>
    <w:rsid w:val="004C4778"/>
    <w:rsid w:val="004E627B"/>
    <w:rsid w:val="005267F5"/>
    <w:rsid w:val="00532203"/>
    <w:rsid w:val="00536574"/>
    <w:rsid w:val="005446C4"/>
    <w:rsid w:val="005C2160"/>
    <w:rsid w:val="00606964"/>
    <w:rsid w:val="00641D3A"/>
    <w:rsid w:val="006C43D9"/>
    <w:rsid w:val="006D46F8"/>
    <w:rsid w:val="00703305"/>
    <w:rsid w:val="0073062C"/>
    <w:rsid w:val="00742C94"/>
    <w:rsid w:val="00750D83"/>
    <w:rsid w:val="007528B4"/>
    <w:rsid w:val="007540BA"/>
    <w:rsid w:val="00762EB6"/>
    <w:rsid w:val="00791C6D"/>
    <w:rsid w:val="0079579C"/>
    <w:rsid w:val="007F7CA8"/>
    <w:rsid w:val="00801340"/>
    <w:rsid w:val="00821BC3"/>
    <w:rsid w:val="0086064E"/>
    <w:rsid w:val="00866F93"/>
    <w:rsid w:val="008A1495"/>
    <w:rsid w:val="008D1B06"/>
    <w:rsid w:val="008D61F2"/>
    <w:rsid w:val="00906CAD"/>
    <w:rsid w:val="009238D7"/>
    <w:rsid w:val="00980720"/>
    <w:rsid w:val="00983FA0"/>
    <w:rsid w:val="009B3997"/>
    <w:rsid w:val="009D34AD"/>
    <w:rsid w:val="009F54BF"/>
    <w:rsid w:val="00A039C3"/>
    <w:rsid w:val="00A40129"/>
    <w:rsid w:val="00A561F2"/>
    <w:rsid w:val="00A671CE"/>
    <w:rsid w:val="00A83269"/>
    <w:rsid w:val="00A879DD"/>
    <w:rsid w:val="00AA1B16"/>
    <w:rsid w:val="00AB2790"/>
    <w:rsid w:val="00AF3F16"/>
    <w:rsid w:val="00B059F0"/>
    <w:rsid w:val="00B20FF2"/>
    <w:rsid w:val="00B456AE"/>
    <w:rsid w:val="00B55773"/>
    <w:rsid w:val="00B608D6"/>
    <w:rsid w:val="00B62D5B"/>
    <w:rsid w:val="00B7525E"/>
    <w:rsid w:val="00B76E26"/>
    <w:rsid w:val="00BA16A3"/>
    <w:rsid w:val="00BA55E9"/>
    <w:rsid w:val="00BB2391"/>
    <w:rsid w:val="00BE601E"/>
    <w:rsid w:val="00C11F3A"/>
    <w:rsid w:val="00C21D80"/>
    <w:rsid w:val="00C241F7"/>
    <w:rsid w:val="00C3425D"/>
    <w:rsid w:val="00C444CB"/>
    <w:rsid w:val="00C6724E"/>
    <w:rsid w:val="00CE5A0F"/>
    <w:rsid w:val="00CE6C3C"/>
    <w:rsid w:val="00DB1F7D"/>
    <w:rsid w:val="00DC52E7"/>
    <w:rsid w:val="00E07080"/>
    <w:rsid w:val="00E105FE"/>
    <w:rsid w:val="00E17BCE"/>
    <w:rsid w:val="00E2017A"/>
    <w:rsid w:val="00E27490"/>
    <w:rsid w:val="00E556DA"/>
    <w:rsid w:val="00E966C3"/>
    <w:rsid w:val="00EE1BB0"/>
    <w:rsid w:val="00F26B40"/>
    <w:rsid w:val="00F44763"/>
    <w:rsid w:val="00F75944"/>
    <w:rsid w:val="00FC206A"/>
    <w:rsid w:val="00FD19C4"/>
    <w:rsid w:val="00FD74EA"/>
    <w:rsid w:val="00FE3C4D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45778930-F4BE-40B5-835C-091DA74B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0129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40129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5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40129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0129"/>
    <w:pPr>
      <w:keepNext/>
      <w:spacing w:before="240" w:after="60"/>
      <w:ind w:left="708"/>
      <w:outlineLvl w:val="2"/>
    </w:pPr>
    <w:rPr>
      <w:rFonts w:ascii="Times New Roman" w:eastAsia="Times New Roman" w:hAnsi="Times New Roman"/>
      <w:b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60D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742E"/>
    <w:pPr>
      <w:spacing w:after="0" w:line="240" w:lineRule="auto"/>
      <w:ind w:left="720"/>
      <w:contextualSpacing/>
      <w:jc w:val="both"/>
    </w:pPr>
    <w:rPr>
      <w:rFonts w:ascii="Times New Roman" w:hAnsi="Times New Roman" w:cs="Calibri"/>
      <w:sz w:val="24"/>
    </w:rPr>
  </w:style>
  <w:style w:type="character" w:styleId="Hiperhivatkozs">
    <w:name w:val="Hyperlink"/>
    <w:uiPriority w:val="99"/>
    <w:rsid w:val="0040742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E64E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F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629D"/>
  </w:style>
  <w:style w:type="paragraph" w:styleId="llb">
    <w:name w:val="footer"/>
    <w:basedOn w:val="Norml"/>
    <w:link w:val="llbChar"/>
    <w:uiPriority w:val="99"/>
    <w:unhideWhenUsed/>
    <w:rsid w:val="003F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629D"/>
  </w:style>
  <w:style w:type="paragraph" w:styleId="Nincstrkz">
    <w:name w:val="No Spacing"/>
    <w:link w:val="NincstrkzChar"/>
    <w:qFormat/>
    <w:rsid w:val="000E2431"/>
    <w:rPr>
      <w:rFonts w:eastAsia="Times New Roman"/>
      <w:sz w:val="22"/>
      <w:szCs w:val="22"/>
    </w:rPr>
  </w:style>
  <w:style w:type="character" w:customStyle="1" w:styleId="NincstrkzChar">
    <w:name w:val="Nincs térköz Char"/>
    <w:link w:val="Nincstrkz"/>
    <w:rsid w:val="000E2431"/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39"/>
    <w:rsid w:val="00260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uiPriority w:val="99"/>
    <w:semiHidden/>
    <w:unhideWhenUsed/>
    <w:rsid w:val="00371C69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A40129"/>
    <w:rPr>
      <w:rFonts w:ascii="Times New Roman" w:eastAsia="Times New Roman" w:hAnsi="Times New Roman" w:cs="Times New Roman"/>
      <w:b/>
      <w:bCs/>
      <w:kern w:val="32"/>
      <w:sz w:val="52"/>
      <w:szCs w:val="32"/>
      <w:lang w:eastAsia="en-US"/>
    </w:rPr>
  </w:style>
  <w:style w:type="character" w:customStyle="1" w:styleId="Cmsor2Char">
    <w:name w:val="Címsor 2 Char"/>
    <w:link w:val="Cmsor2"/>
    <w:uiPriority w:val="9"/>
    <w:rsid w:val="00A40129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Cmsor3Char">
    <w:name w:val="Címsor 3 Char"/>
    <w:link w:val="Cmsor3"/>
    <w:uiPriority w:val="9"/>
    <w:rsid w:val="00A40129"/>
    <w:rPr>
      <w:rFonts w:ascii="Times New Roman" w:eastAsia="Times New Roman" w:hAnsi="Times New Roman" w:cs="Times New Roman"/>
      <w:b/>
      <w:bCs/>
      <w:sz w:val="24"/>
      <w:szCs w:val="26"/>
      <w:lang w:eastAsia="en-US"/>
    </w:rPr>
  </w:style>
  <w:style w:type="character" w:customStyle="1" w:styleId="Cmsor4Char">
    <w:name w:val="Címsor 4 Char"/>
    <w:link w:val="Cmsor4"/>
    <w:uiPriority w:val="9"/>
    <w:rsid w:val="00060D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3B3E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Attila VSZFO</dc:creator>
  <cp:keywords/>
  <dc:description/>
  <cp:lastModifiedBy>Jakab Gábor József</cp:lastModifiedBy>
  <cp:revision>3</cp:revision>
  <cp:lastPrinted>2022-08-25T12:22:00Z</cp:lastPrinted>
  <dcterms:created xsi:type="dcterms:W3CDTF">2025-01-15T13:14:00Z</dcterms:created>
  <dcterms:modified xsi:type="dcterms:W3CDTF">2025-02-04T14:02:00Z</dcterms:modified>
</cp:coreProperties>
</file>